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Times New Roman" w:hAnsi="Times New Roman" w:cs="Times New Roman"/>
          <w:b/>
          <w:kern w:val="2"/>
          <w:sz w:val="44"/>
          <w:szCs w:val="44"/>
        </w:rPr>
      </w:pPr>
    </w:p>
    <w:p>
      <w:pPr>
        <w:widowControl w:val="0"/>
        <w:jc w:val="center"/>
        <w:rPr>
          <w:rFonts w:ascii="Times New Roman" w:hAnsi="Times New Roman" w:cs="Times New Roman"/>
          <w:b/>
          <w:kern w:val="2"/>
          <w:sz w:val="44"/>
          <w:szCs w:val="44"/>
        </w:rPr>
      </w:pPr>
      <w:r>
        <w:rPr>
          <w:rFonts w:hint="eastAsia" w:ascii="Times New Roman" w:hAnsi="Times New Roman" w:cs="Times New Roman"/>
          <w:b/>
          <w:kern w:val="2"/>
          <w:sz w:val="44"/>
          <w:szCs w:val="44"/>
        </w:rPr>
        <w:t>横山煤炭分级分质综合利用项目简介</w:t>
      </w:r>
    </w:p>
    <w:p>
      <w:pPr>
        <w:widowControl w:val="0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ind w:firstLine="420" w:firstLineChars="150"/>
        <w:rPr>
          <w:rFonts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项目以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1500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/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年原煤为基础，以高端材料、清洁能源为产品定位，通过洗选、热解、产品加工和延伸，构成了煤炭分级、分质、高效、综合利用产业体系，实现了煤炭的高附加值、清洁化利用。总投资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408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亿元，总产量：甲醇制汽油（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MTG)60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万吨，煤焦油加氢重整芳烃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76.2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万吨，甲醇合成及精细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233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万吨，二氧化碳可降解塑料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万吨，甲醇蛋白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万吨，碳酸二甲酯等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11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种精细化工产品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164.6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万吨，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×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500MW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超超临界机组发电量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72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亿度，总产值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274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亿元，实现纳税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46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亿元。</w:t>
      </w:r>
    </w:p>
    <w:p>
      <w:pPr>
        <w:widowControl w:val="0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项目煤热解（干馏）可形成半焦、焦油和可燃性气体，并析出其中大部分硫、磷等污染物。可在生产清洁煤——兰炭的基础上，制取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10-15%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的油和可观的优质化工原料气体，实现了固态能源向固态、液态、气态三种能源的高效转化，构建煤炭初级加工、中级加工和深加工三级工业体系，对副产品和废弃物进行再融合利用，最大程度体现节能、低排放和循环经济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zh-CN"/>
        </w:rPr>
        <w:t>目前，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该项目取得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立项批复、项目用地等相关手续。正在进行园区规划论证。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E07"/>
    <w:rsid w:val="00252EB9"/>
    <w:rsid w:val="00645E07"/>
    <w:rsid w:val="68A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jc w:val="both"/>
    </w:pPr>
    <w:rPr>
      <w:rFonts w:ascii="Calibri" w:hAnsi="Calibri" w:eastAsia="宋体" w:cs="Calibri"/>
      <w:color w:val="000000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830</Characters>
  <Lines>6</Lines>
  <Paragraphs>1</Paragraphs>
  <TotalTime>10</TotalTime>
  <ScaleCrop>false</ScaleCrop>
  <LinksUpToDate>false</LinksUpToDate>
  <CharactersWithSpaces>974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2019-06-17T09:12:00Z</dcterms:created>
  <dc:creator>Administrator</dc:creator>
  <cp:lastModifiedBy>名草无主</cp:lastModifiedBy>
  <cp:lastPrinted>2019-06-17T09:14:00Z</cp:lastPrinted>
  <dcterms:modified xsi:type="dcterms:W3CDTF">2019-07-16T14:46:20Z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